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_Toc508617208"/>
      <w:bookmarkStart w:id="3" w:name="_Hlk13204252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13040</w:t>
      </w:r>
      <w:bookmarkStart w:id="5" w:name="_GoBack"/>
      <w:bookmarkEnd w:id="5"/>
    </w:p>
    <w:p>
      <w:pPr>
        <w:pStyle w:val="30"/>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outlineLvl w:val="0"/>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r>
        <w:rPr>
          <w:rFonts w:ascii="Arial" w:hAnsi="Arial" w:eastAsia="宋体" w:cs="Arial"/>
          <w:b/>
          <w:bCs/>
          <w:sz w:val="24"/>
          <w:lang w:val="en-US" w:eastAsia="zh-CN"/>
        </w:rPr>
        <w:t>on AI/ML</w:t>
      </w:r>
    </w:p>
    <w:p>
      <w:pPr>
        <w:tabs>
          <w:tab w:val="left" w:pos="1985"/>
        </w:tabs>
        <w:spacing w:after="120"/>
        <w:outlineLvl w:val="0"/>
        <w:rPr>
          <w:rFonts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8</w:t>
      </w:r>
      <w:r>
        <w:rPr>
          <w:rFonts w:ascii="Arial" w:hAnsi="Arial" w:eastAsia="宋体" w:cs="Arial"/>
          <w:b/>
          <w:bCs/>
          <w:sz w:val="24"/>
          <w:lang w:val="en-US" w:eastAsia="zh-CN"/>
        </w:rPr>
        <w:t>.1</w:t>
      </w:r>
      <w:r>
        <w:rPr>
          <w:rFonts w:hint="eastAsia" w:ascii="Arial" w:hAnsi="Arial" w:eastAsia="宋体" w:cs="Arial"/>
          <w:b/>
          <w:bCs/>
          <w:sz w:val="24"/>
          <w:lang w:val="en-US" w:eastAsia="zh-CN"/>
        </w:rPr>
        <w:t>7</w:t>
      </w:r>
      <w:r>
        <w:rPr>
          <w:rFonts w:ascii="Arial" w:hAnsi="Arial" w:eastAsia="宋体" w:cs="Arial"/>
          <w:b/>
          <w:bCs/>
          <w:sz w:val="24"/>
          <w:lang w:val="en-US" w:eastAsia="zh-CN"/>
        </w:rPr>
        <w:t>.1</w:t>
      </w:r>
    </w:p>
    <w:p>
      <w:pPr>
        <w:tabs>
          <w:tab w:val="left" w:pos="1985"/>
        </w:tabs>
        <w:outlineLvl w:val="0"/>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rPr>
        <w:t>the latest SID has been approved</w:t>
      </w:r>
      <w:r>
        <w:t xml:space="preserve">. According to the SID, the study will focus on the general </w:t>
      </w:r>
      <w:r>
        <w:rPr>
          <w:rFonts w:hint="eastAsia"/>
        </w:rPr>
        <w:t>issues</w:t>
      </w:r>
      <w:r>
        <w:t xml:space="preserve">, evaluations for three </w:t>
      </w:r>
      <w:r>
        <w:rPr>
          <w:rFonts w:hint="eastAsia"/>
        </w:rPr>
        <w:t>different</w:t>
      </w:r>
      <w:r>
        <w:t xml:space="preserve"> use cases and other aspects relate to specification impacts. </w:t>
      </w:r>
    </w:p>
    <w:p>
      <w:pPr>
        <w:pStyle w:val="149"/>
        <w:spacing w:before="48" w:beforeLines="20" w:after="48" w:afterLines="20" w:line="240" w:lineRule="auto"/>
      </w:pPr>
      <w:r>
        <w:rPr>
          <w:rFonts w:hint="eastAsia"/>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4" w:name="_Hlk30969022"/>
      <w:r>
        <w:t>In this contribution, we will discuss the RAN4 related specific issues</w:t>
      </w:r>
      <w:bookmarkEnd w:id="4"/>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ind w:left="0" w:firstLine="0"/>
        <w:rPr>
          <w:lang w:val="en-US" w:eastAsia="zh-CN"/>
        </w:rPr>
      </w:pPr>
      <w:r>
        <w:rPr>
          <w:lang w:eastAsia="zh-CN"/>
        </w:rPr>
        <w:t>2.</w:t>
      </w:r>
      <w:r>
        <w:rPr>
          <w:lang w:val="en-US" w:eastAsia="zh-CN"/>
        </w:rPr>
        <w:t>1</w:t>
      </w:r>
      <w:r>
        <w:rPr>
          <w:lang w:eastAsia="zh-CN"/>
        </w:rPr>
        <w:t xml:space="preserve"> </w:t>
      </w:r>
      <w:r>
        <w:rPr>
          <w:rFonts w:hint="eastAsia"/>
          <w:lang w:val="en-US" w:eastAsia="zh-CN"/>
        </w:rPr>
        <w:t>Consideration of Generalization</w:t>
      </w:r>
    </w:p>
    <w:p>
      <w:pPr>
        <w:spacing w:after="120" w:afterLines="50" w:line="360" w:lineRule="auto"/>
        <w:jc w:val="both"/>
        <w:rPr>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pPr>
        <w:spacing w:after="120" w:afterLines="50" w:line="360" w:lineRule="auto"/>
        <w:jc w:val="both"/>
        <w:rPr>
          <w:sz w:val="22"/>
          <w:szCs w:val="22"/>
          <w:lang w:val="en-US" w:eastAsia="zh-CN"/>
        </w:rPr>
      </w:pPr>
      <w:r>
        <w:rPr>
          <w:sz w:val="22"/>
          <w:szCs w:val="22"/>
          <w:lang w:val="en-US" w:eastAsia="zh-CN"/>
        </w:rPr>
        <w:t xml:space="preserve">For RAN4, </w:t>
      </w:r>
      <w:r>
        <w:rPr>
          <w:rFonts w:hint="eastAsia"/>
          <w:sz w:val="22"/>
          <w:szCs w:val="22"/>
          <w:lang w:val="en-US" w:eastAsia="zh-CN"/>
        </w:rPr>
        <w:t>we main define</w:t>
      </w:r>
      <w:r>
        <w:rPr>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sz w:val="22"/>
          <w:szCs w:val="22"/>
          <w:lang w:val="en-US" w:eastAsia="zh-CN"/>
        </w:rPr>
        <w:t>the radio conditions will definitely change, and more noise or interference factors will greatly reduce the performance of the model, resulting in poor generalization of the model. Therefore, in the testing environment, whether we need to identify specific scenarios and/or configurations to verify whether the performance of the model will increase or maintain, or define a minimum level of performance, is the main key to our research.</w:t>
      </w:r>
    </w:p>
    <w:p>
      <w:pPr>
        <w:spacing w:after="120" w:afterLines="50" w:line="360" w:lineRule="auto"/>
        <w:jc w:val="both"/>
        <w:rPr>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line="360" w:lineRule="auto"/>
        <w:jc w:val="both"/>
        <w:rPr>
          <w:sz w:val="22"/>
          <w:szCs w:val="22"/>
          <w:lang w:val="en-US" w:eastAsia="zh-CN"/>
        </w:rPr>
      </w:pPr>
      <w:r>
        <w:rPr>
          <w:rFonts w:hint="eastAsia"/>
          <w:sz w:val="22"/>
          <w:szCs w:val="22"/>
          <w:lang w:val="en-US" w:eastAsia="zh-CN"/>
        </w:rPr>
        <w:t>Another issue shall be considered, what the minimum level of performance for each identified scenario is.</w:t>
      </w:r>
      <w:r>
        <w:rPr>
          <w:sz w:val="22"/>
          <w:szCs w:val="22"/>
          <w:lang w:val="en-US" w:eastAsia="zh-CN"/>
        </w:rPr>
        <w:t xml:space="preserve"> In TR38.843, 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details about the scenarios and/or configurations for test and the corresponding AI/ML models/functionality</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minimum level performance for each identified scenario and/or configuration is</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significant degradation for other scenarios and/or configurations is</w:t>
      </w:r>
    </w:p>
    <w:p>
      <w:pPr>
        <w:spacing w:after="120" w:afterLines="50" w:line="360" w:lineRule="auto"/>
        <w:jc w:val="both"/>
        <w:rPr>
          <w:sz w:val="22"/>
          <w:szCs w:val="22"/>
          <w:lang w:val="en-US" w:eastAsia="zh-CN"/>
        </w:rPr>
      </w:pPr>
      <w:r>
        <w:rPr>
          <w:rFonts w:hint="eastAsia"/>
          <w:sz w:val="22"/>
          <w:szCs w:val="22"/>
          <w:lang w:val="en-US" w:eastAsia="zh-CN"/>
        </w:rPr>
        <w:t xml:space="preserve"> We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sz w:val="22"/>
          <w:szCs w:val="22"/>
          <w:lang w:val="en-US" w:eastAsia="zh-CN"/>
        </w:rPr>
        <w:t>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scenarios to confirm the generalization of the AI model. The margin shall be added based on the known performance gain for identified scenario and then we have the rules to judge and guarantee the significant degradation will not occur and take the corresponding measures even if it happens.</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pStyle w:val="4"/>
        <w:numPr>
          <w:ilvl w:val="1"/>
          <w:numId w:val="2"/>
        </w:numPr>
        <w:rPr>
          <w:lang w:val="en-US" w:eastAsia="zh-CN"/>
        </w:rPr>
      </w:pPr>
      <w:r>
        <w:rPr>
          <w:rFonts w:hint="eastAsia"/>
          <w:lang w:val="en-US" w:eastAsia="zh-CN"/>
        </w:rPr>
        <w:t xml:space="preserve">Consideration of </w:t>
      </w:r>
      <w:r>
        <w:rPr>
          <w:lang w:val="en-US" w:eastAsia="zh-CN"/>
        </w:rPr>
        <w:t>test data handling</w:t>
      </w:r>
    </w:p>
    <w:p>
      <w:pPr>
        <w:rPr>
          <w:rFonts w:eastAsiaTheme="minorEastAsia"/>
          <w:lang w:eastAsia="zh-CN"/>
        </w:rPr>
      </w:pPr>
      <w:r>
        <w:rPr>
          <w:rFonts w:eastAsiaTheme="minorEastAsia"/>
          <w:lang w:eastAsia="zh-CN"/>
        </w:rPr>
        <w:t>We RAN4 has also studied the test data handling in the few meetings and in the last meeting we had the related agreements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b/>
                <w:u w:val="single"/>
              </w:rPr>
            </w:pPr>
            <w:r>
              <w:rPr>
                <w:b/>
                <w:u w:val="single"/>
              </w:rPr>
              <w:t xml:space="preserve">Issue 1-7: Test data handling </w:t>
            </w:r>
          </w:p>
          <w:p>
            <w:pPr>
              <w:rPr>
                <w:b/>
                <w:bCs/>
                <w:szCs w:val="24"/>
                <w:lang w:eastAsia="zh-CN"/>
              </w:rPr>
            </w:pPr>
            <w:r>
              <w:rPr>
                <w:rFonts w:hint="eastAsia"/>
                <w:b/>
                <w:bCs/>
                <w:szCs w:val="24"/>
                <w:lang w:eastAsia="zh-CN"/>
              </w:rPr>
              <w:t>A</w:t>
            </w:r>
            <w:r>
              <w:rPr>
                <w:b/>
                <w:bCs/>
                <w:szCs w:val="24"/>
                <w:lang w:eastAsia="zh-CN"/>
              </w:rPr>
              <w:t xml:space="preserve">greement: </w:t>
            </w:r>
          </w:p>
          <w:p>
            <w:pPr>
              <w:pStyle w:val="106"/>
              <w:numPr>
                <w:ilvl w:val="0"/>
                <w:numId w:val="4"/>
              </w:numPr>
              <w:overflowPunct w:val="0"/>
              <w:autoSpaceDE w:val="0"/>
              <w:autoSpaceDN w:val="0"/>
              <w:adjustRightInd w:val="0"/>
              <w:spacing w:after="180" w:line="240" w:lineRule="auto"/>
              <w:contextualSpacing w:val="0"/>
              <w:textAlignment w:val="baseline"/>
              <w:rPr>
                <w:rFonts w:eastAsia="Yu Mincho"/>
                <w:lang w:eastAsia="ja-JP"/>
              </w:rPr>
            </w:pPr>
            <w:r>
              <w:rPr>
                <w:rFonts w:eastAsia="Yu Mincho"/>
                <w:lang w:eastAsia="ja-JP"/>
              </w:rPr>
              <w:t>For inference test, use synthetic channels as baseline, and check whether it can be used for the individual use case</w:t>
            </w:r>
          </w:p>
        </w:tc>
      </w:tr>
    </w:tbl>
    <w:p>
      <w:pPr>
        <w:rPr>
          <w:sz w:val="22"/>
          <w:szCs w:val="22"/>
          <w:lang w:val="en-US" w:eastAsia="zh-CN"/>
        </w:rPr>
      </w:pPr>
      <w:r>
        <w:rPr>
          <w:sz w:val="22"/>
          <w:szCs w:val="22"/>
          <w:lang w:val="en-US" w:eastAsia="zh-CN"/>
        </w:rPr>
        <w:t>Based on the above agreement, we will use the synthetic channels as baseline. From my perspective, the synthetic means the combination with the following points:</w:t>
      </w:r>
    </w:p>
    <w:p>
      <w:pPr>
        <w:pStyle w:val="84"/>
        <w:rPr>
          <w:lang w:eastAsia="ko-KR"/>
        </w:rPr>
      </w:pPr>
      <w:r>
        <w:rPr>
          <w:lang w:eastAsia="ko-KR"/>
        </w:rPr>
        <w:t>-</w:t>
      </w:r>
      <w:r>
        <w:rPr>
          <w:lang w:eastAsia="ko-KR"/>
        </w:rPr>
        <w:tab/>
      </w:r>
      <w:r>
        <w:rPr>
          <w:lang w:eastAsia="ko-KR"/>
        </w:rPr>
        <w:t xml:space="preserve">Various deployment scenarios, e.g., UMa, UMi and others; e.g., 200m ISD or 500m ISD and others; e.g., same deployment, different cells with different configuration/assumption; e.g., gNB height and UE height; </w:t>
      </w:r>
    </w:p>
    <w:p>
      <w:pPr>
        <w:pStyle w:val="84"/>
        <w:rPr>
          <w:lang w:eastAsia="ko-KR"/>
        </w:rPr>
      </w:pPr>
      <w:r>
        <w:rPr>
          <w:lang w:eastAsia="ko-KR"/>
        </w:rPr>
        <w:t>-</w:t>
      </w:r>
      <w:r>
        <w:rPr>
          <w:lang w:eastAsia="ko-KR"/>
        </w:rPr>
        <w:tab/>
      </w:r>
      <w:r>
        <w:rPr>
          <w:lang w:eastAsia="ko-KR"/>
        </w:rPr>
        <w:t>Various outdoor/indoor UE distributions, e.g., 100%/0%, 20%/80%, and others</w:t>
      </w:r>
    </w:p>
    <w:p>
      <w:pPr>
        <w:pStyle w:val="84"/>
        <w:rPr>
          <w:lang w:eastAsia="ko-KR"/>
        </w:rPr>
      </w:pPr>
      <w:r>
        <w:rPr>
          <w:lang w:eastAsia="ko-KR"/>
        </w:rPr>
        <w:t>-</w:t>
      </w:r>
      <w:r>
        <w:rPr>
          <w:lang w:eastAsia="ko-KR"/>
        </w:rPr>
        <w:tab/>
      </w:r>
      <w:r>
        <w:rPr>
          <w:lang w:eastAsia="ko-KR"/>
        </w:rPr>
        <w:t>Various UE mobility, e.g., 3km/h, 30km/h, 60km/h and others</w:t>
      </w:r>
    </w:p>
    <w:p>
      <w:pPr>
        <w:rPr>
          <w:sz w:val="22"/>
          <w:szCs w:val="22"/>
          <w:lang w:val="en-US" w:eastAsia="zh-CN"/>
        </w:rPr>
      </w:pPr>
      <w:r>
        <w:rPr>
          <w:sz w:val="22"/>
          <w:szCs w:val="22"/>
          <w:lang w:val="en-US" w:eastAsia="zh-CN"/>
        </w:rPr>
        <w:t>However, there is a problem for the above agreement, that is, what does the “check whether it can be used for the individual use case” mean? We have two understandings: 1. The different use case has the different synthetic channels. 2. One synthetic channels shall be used for the individual use case. In this meeting the clarification shall be needed. From my perspective, the option 1 is fine for me since the different use cases has the different processing procedure based on the other working groups, and in order to guarantee the generalization the different use case shall owns the unique testing data. For option 2, if we use the same synthetic channels for individual use cases, the performance gain may not be increased than the legacy.</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rPr>
          <w:sz w:val="22"/>
          <w:szCs w:val="22"/>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spacing w:before="48" w:beforeLines="20" w:after="48" w:afterLines="20"/>
        <w:ind w:left="1418" w:hanging="1419" w:hangingChars="709"/>
        <w:jc w:val="both"/>
        <w:rPr>
          <w:rFonts w:eastAsia="等线"/>
          <w:b/>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2"/>
    <w:p>
      <w:pPr>
        <w:numPr>
          <w:ilvl w:val="0"/>
          <w:numId w:val="5"/>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3"/>
    </w:p>
    <w:p>
      <w:pPr>
        <w:spacing w:before="20" w:after="20"/>
        <w:ind w:left="360"/>
        <w:jc w:val="both"/>
        <w:rPr>
          <w:rFonts w:eastAsia="宋体"/>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3236492"/>
    <w:multiLevelType w:val="multilevel"/>
    <w:tmpl w:val="732364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9145D4E"/>
    <w:rsid w:val="194779F4"/>
    <w:rsid w:val="19566178"/>
    <w:rsid w:val="19C80559"/>
    <w:rsid w:val="1A0F3844"/>
    <w:rsid w:val="1A396545"/>
    <w:rsid w:val="1A3F391C"/>
    <w:rsid w:val="1A424B3D"/>
    <w:rsid w:val="1AB23C34"/>
    <w:rsid w:val="1B1D4C62"/>
    <w:rsid w:val="1C1D0A2D"/>
    <w:rsid w:val="1E187F3B"/>
    <w:rsid w:val="1F2B2926"/>
    <w:rsid w:val="1F497C60"/>
    <w:rsid w:val="1FB11C0E"/>
    <w:rsid w:val="201C12BD"/>
    <w:rsid w:val="201C48F2"/>
    <w:rsid w:val="20533996"/>
    <w:rsid w:val="212A232F"/>
    <w:rsid w:val="212D2935"/>
    <w:rsid w:val="21F64047"/>
    <w:rsid w:val="231A3F2A"/>
    <w:rsid w:val="234A68AA"/>
    <w:rsid w:val="23973D8E"/>
    <w:rsid w:val="24A86E33"/>
    <w:rsid w:val="25087F81"/>
    <w:rsid w:val="254B663C"/>
    <w:rsid w:val="26070074"/>
    <w:rsid w:val="27436777"/>
    <w:rsid w:val="281429D6"/>
    <w:rsid w:val="291C6526"/>
    <w:rsid w:val="2AF14A39"/>
    <w:rsid w:val="2B363BB9"/>
    <w:rsid w:val="2CD959AD"/>
    <w:rsid w:val="2CEE4744"/>
    <w:rsid w:val="2D127890"/>
    <w:rsid w:val="2D931741"/>
    <w:rsid w:val="2EBD5533"/>
    <w:rsid w:val="2EE52178"/>
    <w:rsid w:val="2F0860B8"/>
    <w:rsid w:val="2F532CB4"/>
    <w:rsid w:val="2F871193"/>
    <w:rsid w:val="30D70A90"/>
    <w:rsid w:val="32645ABA"/>
    <w:rsid w:val="338B3E0E"/>
    <w:rsid w:val="355A432F"/>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E7764F4"/>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D9D1A51"/>
    <w:rsid w:val="6E15551D"/>
    <w:rsid w:val="6E333D3D"/>
    <w:rsid w:val="6E9310B7"/>
    <w:rsid w:val="6ED60A58"/>
    <w:rsid w:val="70716A44"/>
    <w:rsid w:val="70EA5B0A"/>
    <w:rsid w:val="7118211F"/>
    <w:rsid w:val="71906300"/>
    <w:rsid w:val="73143655"/>
    <w:rsid w:val="7552200E"/>
    <w:rsid w:val="787428AA"/>
    <w:rsid w:val="78F02C06"/>
    <w:rsid w:val="79A07F65"/>
    <w:rsid w:val="7A753B87"/>
    <w:rsid w:val="7B5E4E76"/>
    <w:rsid w:val="7B976EC2"/>
    <w:rsid w:val="7BAE5340"/>
    <w:rsid w:val="7BE350CF"/>
    <w:rsid w:val="7CB55428"/>
    <w:rsid w:val="7CEA45F0"/>
    <w:rsid w:val="7EAD2FE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0</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cp:lastModifiedBy>
  <dcterms:modified xsi:type="dcterms:W3CDTF">2024-08-09T14:54:01Z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